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зрань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зрань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